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4AC" w:rsidRDefault="008F44AC" w:rsidP="008F44AC">
      <w:pPr>
        <w:ind w:firstLineChars="200" w:firstLine="640"/>
        <w:jc w:val="left"/>
        <w:rPr>
          <w:rFonts w:ascii="微软雅黑" w:eastAsia="微软雅黑" w:hAnsi="微软雅黑" w:cs="仿宋"/>
          <w:sz w:val="32"/>
          <w:szCs w:val="32"/>
        </w:rPr>
      </w:pPr>
      <w:r>
        <w:rPr>
          <w:rFonts w:ascii="微软雅黑" w:eastAsia="微软雅黑" w:hAnsi="微软雅黑" w:cs="仿宋" w:hint="eastAsia"/>
          <w:sz w:val="32"/>
          <w:szCs w:val="32"/>
        </w:rPr>
        <w:t>附件1：               参培人员报名汇总表</w:t>
      </w:r>
    </w:p>
    <w:tbl>
      <w:tblPr>
        <w:tblpPr w:leftFromText="180" w:rightFromText="180" w:vertAnchor="text" w:horzAnchor="margin" w:tblpXSpec="center" w:tblpY="435"/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4"/>
        <w:gridCol w:w="353"/>
        <w:gridCol w:w="2981"/>
        <w:gridCol w:w="439"/>
        <w:gridCol w:w="216"/>
        <w:gridCol w:w="1194"/>
        <w:gridCol w:w="756"/>
        <w:gridCol w:w="90"/>
        <w:gridCol w:w="2229"/>
        <w:gridCol w:w="900"/>
      </w:tblGrid>
      <w:tr w:rsidR="008F44AC" w:rsidTr="00665DB3">
        <w:tc>
          <w:tcPr>
            <w:tcW w:w="1239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单位名称</w:t>
            </w:r>
          </w:p>
        </w:tc>
        <w:tc>
          <w:tcPr>
            <w:tcW w:w="9158" w:type="dxa"/>
            <w:gridSpan w:val="9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c>
          <w:tcPr>
            <w:tcW w:w="1239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地址</w:t>
            </w:r>
          </w:p>
        </w:tc>
        <w:tc>
          <w:tcPr>
            <w:tcW w:w="9158" w:type="dxa"/>
            <w:gridSpan w:val="9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c>
          <w:tcPr>
            <w:tcW w:w="1239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联系人</w:t>
            </w:r>
          </w:p>
        </w:tc>
        <w:tc>
          <w:tcPr>
            <w:tcW w:w="3989" w:type="dxa"/>
            <w:gridSpan w:val="4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联系人手机号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c>
          <w:tcPr>
            <w:tcW w:w="10397" w:type="dxa"/>
            <w:gridSpan w:val="11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参培人员名单</w:t>
            </w:r>
          </w:p>
        </w:tc>
      </w:tr>
      <w:tr w:rsidR="008F44AC" w:rsidTr="00665DB3">
        <w:tc>
          <w:tcPr>
            <w:tcW w:w="675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  <w:highlight w:val="red"/>
              </w:rPr>
            </w:pPr>
            <w:r>
              <w:rPr>
                <w:rFonts w:ascii="微软雅黑" w:eastAsia="微软雅黑" w:hAnsi="微软雅黑" w:hint="eastAsia"/>
              </w:rPr>
              <w:t>手机号</w:t>
            </w: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4日报到</w:t>
            </w:r>
          </w:p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（外地需要提前入住酒店的）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5日</w:t>
            </w:r>
            <w:r>
              <w:rPr>
                <w:rFonts w:ascii="微软雅黑" w:eastAsia="微软雅黑" w:hAnsi="微软雅黑"/>
              </w:rPr>
              <w:br/>
            </w:r>
            <w:r>
              <w:rPr>
                <w:rFonts w:ascii="微软雅黑" w:eastAsia="微软雅黑" w:hAnsi="微软雅黑" w:hint="eastAsia"/>
              </w:rPr>
              <w:t>报到</w:t>
            </w:r>
          </w:p>
        </w:tc>
      </w:tr>
      <w:tr w:rsidR="008F44AC" w:rsidTr="00665DB3">
        <w:tc>
          <w:tcPr>
            <w:tcW w:w="675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c>
          <w:tcPr>
            <w:tcW w:w="675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c>
          <w:tcPr>
            <w:tcW w:w="675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c>
          <w:tcPr>
            <w:tcW w:w="675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c>
          <w:tcPr>
            <w:tcW w:w="675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c>
          <w:tcPr>
            <w:tcW w:w="675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c>
          <w:tcPr>
            <w:tcW w:w="675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3075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rPr>
          <w:trHeight w:val="546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汇款信息</w:t>
            </w:r>
          </w:p>
        </w:tc>
        <w:tc>
          <w:tcPr>
            <w:tcW w:w="8805" w:type="dxa"/>
            <w:gridSpan w:val="8"/>
            <w:shd w:val="clear" w:color="auto" w:fill="auto"/>
            <w:vAlign w:val="center"/>
          </w:tcPr>
          <w:p w:rsidR="008F44AC" w:rsidRDefault="008F44AC" w:rsidP="00665DB3">
            <w:pPr>
              <w:ind w:firstLineChars="100" w:firstLine="21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  □单位汇款                  □个人汇款，汇款人姓名：</w:t>
            </w:r>
          </w:p>
        </w:tc>
      </w:tr>
      <w:tr w:rsidR="008F44AC" w:rsidTr="00665DB3">
        <w:trPr>
          <w:trHeight w:val="557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汇款日期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月        日</w:t>
            </w:r>
          </w:p>
        </w:tc>
        <w:tc>
          <w:tcPr>
            <w:tcW w:w="2605" w:type="dxa"/>
            <w:gridSpan w:val="4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汇款金额</w:t>
            </w:r>
          </w:p>
        </w:tc>
        <w:tc>
          <w:tcPr>
            <w:tcW w:w="3219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宋体" w:hint="eastAsia"/>
              </w:rPr>
              <w:t>¥</w:t>
            </w:r>
            <w:r>
              <w:rPr>
                <w:rFonts w:ascii="微软雅黑" w:eastAsia="微软雅黑" w:hAnsi="微软雅黑" w:hint="eastAsia"/>
              </w:rPr>
              <w:t xml:space="preserve">        元</w:t>
            </w:r>
          </w:p>
        </w:tc>
      </w:tr>
      <w:tr w:rsidR="008F44AC" w:rsidTr="00665DB3">
        <w:trPr>
          <w:trHeight w:val="707"/>
        </w:trPr>
        <w:tc>
          <w:tcPr>
            <w:tcW w:w="1592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F44AC" w:rsidRDefault="008F44AC" w:rsidP="00665DB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收取电子发票邮箱</w:t>
            </w:r>
          </w:p>
        </w:tc>
        <w:tc>
          <w:tcPr>
            <w:tcW w:w="8805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F44AC" w:rsidRDefault="008F44AC" w:rsidP="00665DB3">
            <w:pPr>
              <w:rPr>
                <w:rFonts w:ascii="微软雅黑" w:eastAsia="微软雅黑" w:hAnsi="微软雅黑"/>
              </w:rPr>
            </w:pPr>
          </w:p>
        </w:tc>
      </w:tr>
      <w:tr w:rsidR="008F44AC" w:rsidTr="00665DB3">
        <w:trPr>
          <w:trHeight w:val="561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发票抬头</w:t>
            </w:r>
          </w:p>
        </w:tc>
        <w:tc>
          <w:tcPr>
            <w:tcW w:w="8805" w:type="dxa"/>
            <w:gridSpan w:val="8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rPr>
          <w:trHeight w:val="704"/>
        </w:trPr>
        <w:tc>
          <w:tcPr>
            <w:tcW w:w="1592" w:type="dxa"/>
            <w:gridSpan w:val="3"/>
            <w:shd w:val="clear" w:color="auto" w:fill="auto"/>
            <w:vAlign w:val="center"/>
          </w:tcPr>
          <w:p w:rsidR="008F44AC" w:rsidRDefault="008F44AC" w:rsidP="00665DB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纳税人识别号</w:t>
            </w:r>
          </w:p>
        </w:tc>
        <w:tc>
          <w:tcPr>
            <w:tcW w:w="8805" w:type="dxa"/>
            <w:gridSpan w:val="8"/>
            <w:shd w:val="clear" w:color="auto" w:fill="auto"/>
            <w:vAlign w:val="center"/>
          </w:tcPr>
          <w:p w:rsidR="008F44AC" w:rsidRDefault="008F44AC" w:rsidP="00665DB3">
            <w:pPr>
              <w:jc w:val="center"/>
              <w:rPr>
                <w:rFonts w:ascii="微软雅黑" w:eastAsia="微软雅黑" w:hAnsi="微软雅黑"/>
              </w:rPr>
            </w:pPr>
          </w:p>
        </w:tc>
      </w:tr>
      <w:tr w:rsidR="008F44AC" w:rsidTr="00665DB3">
        <w:tc>
          <w:tcPr>
            <w:tcW w:w="10397" w:type="dxa"/>
            <w:gridSpan w:val="11"/>
            <w:shd w:val="clear" w:color="auto" w:fill="auto"/>
            <w:vAlign w:val="center"/>
          </w:tcPr>
          <w:p w:rsidR="008F44AC" w:rsidRDefault="008F44AC" w:rsidP="00665DB3">
            <w:pPr>
              <w:spacing w:line="400" w:lineRule="exact"/>
              <w:ind w:left="945" w:hangingChars="450" w:hanging="945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说明</w:t>
            </w:r>
            <w:r w:rsidRPr="00A3397B">
              <w:rPr>
                <w:rFonts w:ascii="微软雅黑" w:eastAsia="微软雅黑" w:hAnsi="微软雅黑" w:hint="eastAsia"/>
              </w:rPr>
              <w:t>：</w:t>
            </w:r>
            <w:r w:rsidRPr="00A3397B">
              <w:rPr>
                <w:rFonts w:ascii="微软雅黑" w:eastAsia="微软雅黑" w:hAnsi="微软雅黑"/>
              </w:rPr>
              <w:t>1、</w:t>
            </w:r>
            <w:r w:rsidRPr="00A3397B">
              <w:rPr>
                <w:rFonts w:ascii="微软雅黑" w:eastAsia="微软雅黑" w:hAnsi="微软雅黑" w:hint="eastAsia"/>
              </w:rPr>
              <w:t>表格填</w:t>
            </w:r>
            <w:r>
              <w:rPr>
                <w:rFonts w:ascii="微软雅黑" w:eastAsia="微软雅黑" w:hAnsi="微软雅黑" w:hint="eastAsia"/>
              </w:rPr>
              <w:t>写完毕后发送邮箱至qdurps@163.com。</w:t>
            </w:r>
          </w:p>
          <w:p w:rsidR="008F44AC" w:rsidRDefault="008F44AC" w:rsidP="00665DB3">
            <w:pPr>
              <w:numPr>
                <w:ilvl w:val="0"/>
                <w:numId w:val="1"/>
              </w:numPr>
              <w:spacing w:line="400" w:lineRule="exact"/>
              <w:ind w:leftChars="300" w:left="945" w:hangingChars="150" w:hanging="315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联系人：张工 联系电话：18669719361   </w:t>
            </w:r>
            <w:proofErr w:type="gramStart"/>
            <w:r>
              <w:rPr>
                <w:rFonts w:ascii="微软雅黑" w:eastAsia="微软雅黑" w:hAnsi="微软雅黑" w:hint="eastAsia"/>
              </w:rPr>
              <w:t>王工</w:t>
            </w:r>
            <w:proofErr w:type="gramEnd"/>
            <w:r>
              <w:rPr>
                <w:rFonts w:ascii="微软雅黑" w:eastAsia="微软雅黑" w:hAnsi="微软雅黑" w:hint="eastAsia"/>
              </w:rPr>
              <w:t xml:space="preserve"> 联系电话：18705326531</w:t>
            </w:r>
          </w:p>
        </w:tc>
      </w:tr>
    </w:tbl>
    <w:p w:rsidR="008F44AC" w:rsidRDefault="008F44AC" w:rsidP="008F44AC">
      <w:pPr>
        <w:rPr>
          <w:sz w:val="18"/>
          <w:szCs w:val="18"/>
        </w:rPr>
      </w:pPr>
      <w:r>
        <w:rPr>
          <w:rFonts w:hint="eastAsia"/>
          <w:sz w:val="40"/>
        </w:rPr>
        <w:t xml:space="preserve">                    </w:t>
      </w:r>
    </w:p>
    <w:p w:rsidR="008F44AC" w:rsidRDefault="008F44AC" w:rsidP="008F44AC">
      <w:r>
        <w:rPr>
          <w:rFonts w:hint="eastAsia"/>
        </w:rPr>
        <w:t xml:space="preserve">                </w:t>
      </w:r>
    </w:p>
    <w:p w:rsidR="008F44AC" w:rsidRDefault="008F44AC" w:rsidP="008F44AC">
      <w:pPr>
        <w:rPr>
          <w:sz w:val="18"/>
          <w:szCs w:val="18"/>
        </w:rPr>
      </w:pPr>
      <w:r>
        <w:rPr>
          <w:rFonts w:hint="eastAsia"/>
          <w:sz w:val="40"/>
        </w:rPr>
        <w:t xml:space="preserve">                   </w:t>
      </w:r>
    </w:p>
    <w:p w:rsidR="008F44AC" w:rsidRDefault="008F44AC" w:rsidP="008F44AC">
      <w:r>
        <w:rPr>
          <w:rFonts w:hint="eastAsia"/>
        </w:rPr>
        <w:t xml:space="preserve"> </w:t>
      </w:r>
    </w:p>
    <w:p w:rsidR="008F44AC" w:rsidRDefault="008F44AC" w:rsidP="008F44AC">
      <w:pPr>
        <w:rPr>
          <w:sz w:val="18"/>
          <w:szCs w:val="18"/>
        </w:rPr>
      </w:pPr>
      <w:r>
        <w:rPr>
          <w:rFonts w:hint="eastAsia"/>
          <w:sz w:val="40"/>
        </w:rPr>
        <w:t xml:space="preserve">                    </w:t>
      </w:r>
    </w:p>
    <w:p w:rsidR="008F44AC" w:rsidRDefault="008F44AC" w:rsidP="008F44AC">
      <w:r>
        <w:rPr>
          <w:rFonts w:hint="eastAsia"/>
        </w:rPr>
        <w:t xml:space="preserve">                </w:t>
      </w:r>
    </w:p>
    <w:p w:rsidR="008F44AC" w:rsidRDefault="008F44AC" w:rsidP="008F44AC">
      <w:pPr>
        <w:rPr>
          <w:rFonts w:cs="Times New Roman"/>
        </w:rPr>
      </w:pPr>
    </w:p>
    <w:p w:rsidR="008F44AC" w:rsidRDefault="008F44AC" w:rsidP="008F44AC">
      <w:pPr>
        <w:rPr>
          <w:rFonts w:cs="Times New Roman"/>
        </w:rPr>
      </w:pPr>
    </w:p>
    <w:p w:rsidR="008F44AC" w:rsidRDefault="008F44AC" w:rsidP="008F44AC">
      <w:pPr>
        <w:rPr>
          <w:rFonts w:cs="Times New Roman"/>
        </w:rPr>
      </w:pPr>
    </w:p>
    <w:p w:rsidR="008F44AC" w:rsidRDefault="008F44AC" w:rsidP="008F44AC">
      <w:pPr>
        <w:rPr>
          <w:rFonts w:cs="Times New Roman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sz w:val="32"/>
          <w:szCs w:val="32"/>
        </w:rPr>
      </w:pPr>
    </w:p>
    <w:p w:rsidR="008F44AC" w:rsidRDefault="008F44AC" w:rsidP="008F44AC">
      <w:pPr>
        <w:adjustRightInd w:val="0"/>
        <w:snapToGrid w:val="0"/>
        <w:spacing w:line="480" w:lineRule="exact"/>
        <w:rPr>
          <w:rFonts w:ascii="仿宋" w:eastAsia="仿宋" w:hAnsi="仿宋" w:cs="宋体"/>
          <w:color w:val="000000"/>
          <w:sz w:val="44"/>
          <w:szCs w:val="44"/>
        </w:rPr>
        <w:sectPr w:rsidR="008F44AC">
          <w:pgSz w:w="11906" w:h="16838"/>
          <w:pgMar w:top="851" w:right="170" w:bottom="851" w:left="170" w:header="851" w:footer="992" w:gutter="0"/>
          <w:pgNumType w:fmt="numberInDash"/>
          <w:cols w:space="425"/>
          <w:docGrid w:type="lines" w:linePitch="579" w:charSpace="2273"/>
        </w:sectPr>
      </w:pPr>
    </w:p>
    <w:p w:rsidR="008F44AC" w:rsidRDefault="008F44AC" w:rsidP="008F44AC">
      <w:pPr>
        <w:tabs>
          <w:tab w:val="left" w:pos="6096"/>
        </w:tabs>
        <w:spacing w:line="600" w:lineRule="exact"/>
        <w:rPr>
          <w:rFonts w:ascii="微软雅黑" w:eastAsia="微软雅黑" w:hAnsi="微软雅黑" w:cs="仿宋"/>
          <w:sz w:val="32"/>
          <w:szCs w:val="32"/>
        </w:rPr>
      </w:pPr>
      <w:r w:rsidRPr="001A7324">
        <w:rPr>
          <w:rFonts w:ascii="微软雅黑" w:eastAsia="微软雅黑" w:hAnsi="微软雅黑" w:cs="仿宋" w:hint="eastAsia"/>
          <w:sz w:val="32"/>
          <w:szCs w:val="32"/>
        </w:rPr>
        <w:lastRenderedPageBreak/>
        <w:t>附件2：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           </w:t>
      </w:r>
      <w:r w:rsidRPr="001A7324">
        <w:rPr>
          <w:rFonts w:ascii="微软雅黑" w:eastAsia="微软雅黑" w:hAnsi="微软雅黑" w:cs="仿宋" w:hint="eastAsia"/>
          <w:sz w:val="32"/>
          <w:szCs w:val="32"/>
        </w:rPr>
        <w:t>培训日程</w:t>
      </w:r>
    </w:p>
    <w:tbl>
      <w:tblPr>
        <w:tblW w:w="5781" w:type="pct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745"/>
        <w:gridCol w:w="2072"/>
        <w:gridCol w:w="5062"/>
      </w:tblGrid>
      <w:tr w:rsidR="009052B3" w:rsidTr="0066035E">
        <w:trPr>
          <w:trHeight w:val="454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bookmarkStart w:id="0" w:name="_Hlk59455723"/>
            <w:r>
              <w:rPr>
                <w:rFonts w:ascii="黑体" w:eastAsia="黑体" w:hAnsi="黑体" w:cs="仿宋_GB2312" w:hint="eastAsia"/>
                <w:sz w:val="24"/>
              </w:rPr>
              <w:t>日期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时间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课程名称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黑体" w:eastAsia="黑体" w:hAnsi="黑体" w:cs="仿宋_GB2312"/>
                <w:sz w:val="24"/>
              </w:rPr>
            </w:pPr>
            <w:r>
              <w:rPr>
                <w:rFonts w:ascii="黑体" w:eastAsia="黑体" w:hAnsi="黑体" w:cs="仿宋_GB2312" w:hint="eastAsia"/>
                <w:sz w:val="24"/>
              </w:rPr>
              <w:t>主讲人</w:t>
            </w:r>
          </w:p>
        </w:tc>
      </w:tr>
      <w:bookmarkEnd w:id="0"/>
      <w:tr w:rsidR="009052B3" w:rsidTr="0066035E">
        <w:trPr>
          <w:trHeight w:val="454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月5日</w:t>
            </w:r>
          </w:p>
          <w:p w:rsidR="009052B3" w:rsidRDefault="009052B3" w:rsidP="0066035E">
            <w:pPr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（星期一）</w:t>
            </w:r>
          </w:p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08:00-0</w:t>
            </w: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培训签到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0-09:</w:t>
            </w: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开班致辞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协会领导</w:t>
            </w:r>
          </w:p>
        </w:tc>
      </w:tr>
      <w:tr w:rsidR="009052B3" w:rsidTr="0066035E">
        <w:trPr>
          <w:trHeight w:val="663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</w:t>
            </w: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-1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区域一体化背景下的枢纽地区规划新思考——以上海虹桥枢纽为例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罗瀛</w:t>
            </w:r>
            <w:r w:rsidRPr="00735E1C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中国城市规划设计研究院上海分院规划三所所长，高级工程师。</w:t>
            </w:r>
          </w:p>
        </w:tc>
      </w:tr>
      <w:tr w:rsidR="009052B3" w:rsidTr="0066035E">
        <w:trPr>
          <w:trHeight w:val="448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0:30-10:40</w:t>
            </w:r>
          </w:p>
        </w:tc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9052B3">
            <w:pPr>
              <w:snapToGrid w:val="0"/>
              <w:spacing w:line="264" w:lineRule="auto"/>
              <w:ind w:firstLineChars="1100" w:firstLine="276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休息1</w:t>
            </w:r>
            <w:r>
              <w:rPr>
                <w:rFonts w:ascii="仿宋_GB2312" w:eastAsia="仿宋_GB2312" w:hAnsi="仿宋_GB2312" w:cs="仿宋_GB2312"/>
                <w:sz w:val="24"/>
              </w:rPr>
              <w:t>0分钟</w:t>
            </w:r>
          </w:p>
        </w:tc>
      </w:tr>
      <w:tr w:rsidR="009052B3" w:rsidTr="0066035E">
        <w:trPr>
          <w:trHeight w:val="1015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</w:rPr>
              <w:t>-12:00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区域一体化背景下的枢纽地区规划新思考——以上海虹桥枢纽为例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100" w:lineRule="atLeast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罗瀛</w:t>
            </w:r>
            <w:r w:rsidRPr="00735E1C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中国城市规划设计研究院上海分院规划三所所长，高级工程师。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午休</w:t>
            </w:r>
          </w:p>
        </w:tc>
      </w:tr>
      <w:tr w:rsidR="009052B3" w:rsidTr="0066035E">
        <w:trPr>
          <w:trHeight w:val="1959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1115E3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1115E3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实施导向的大尺度滨水空间城市设计策略—以南京魅力滨江2035城市设计为例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刘红杰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南京东南大学城市规划设计研究院有限公司副总规划师、城市设计所所长，高级城市规划师。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30-15:40</w:t>
            </w:r>
          </w:p>
        </w:tc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休息1</w:t>
            </w:r>
            <w:r>
              <w:rPr>
                <w:rFonts w:ascii="仿宋_GB2312" w:eastAsia="仿宋_GB2312" w:hAnsi="仿宋_GB2312" w:cs="仿宋_GB2312"/>
                <w:sz w:val="24"/>
              </w:rPr>
              <w:t>0分钟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40-17:10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西安市历史文化保护传承管理规定及实施路径研究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831F0F" w:rsidRDefault="009052B3" w:rsidP="0066035E">
            <w:pPr>
              <w:snapToGrid w:val="0"/>
              <w:spacing w:line="264" w:lineRule="auto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姜岩 西安市城市规划设计研究院历史文化名城分院院长</w:t>
            </w:r>
            <w:r w:rsidRPr="00735E1C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高级工程师，西安建筑科技大学校外研究生导师</w:t>
            </w:r>
            <w:r w:rsidRPr="00831F0F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</w:t>
            </w:r>
          </w:p>
        </w:tc>
      </w:tr>
      <w:tr w:rsidR="009052B3" w:rsidTr="0066035E">
        <w:trPr>
          <w:trHeight w:val="1049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月6日</w:t>
            </w:r>
          </w:p>
          <w:p w:rsidR="009052B3" w:rsidRDefault="009052B3" w:rsidP="0066035E">
            <w:pPr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（星期二）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-1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深圳“山海连城计划”城市设计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单</w:t>
            </w:r>
            <w:proofErr w:type="gramStart"/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樑</w:t>
            </w:r>
            <w:proofErr w:type="gramEnd"/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深圳市城市规划设计研究院股份有限公司副院长，教授级高级规划师。</w:t>
            </w:r>
          </w:p>
        </w:tc>
      </w:tr>
      <w:tr w:rsidR="009052B3" w:rsidTr="0066035E">
        <w:trPr>
          <w:trHeight w:val="561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pStyle w:val="12"/>
              <w:ind w:firstLineChars="0" w:firstLine="0"/>
              <w:jc w:val="left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0:30-10:40    </w:t>
            </w:r>
          </w:p>
        </w:tc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3772C8" w:rsidRDefault="009052B3" w:rsidP="009052B3">
            <w:pPr>
              <w:pStyle w:val="12"/>
              <w:ind w:firstLineChars="1072" w:firstLine="2692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休息1</w:t>
            </w:r>
            <w:r>
              <w:rPr>
                <w:rFonts w:ascii="仿宋_GB2312" w:eastAsia="仿宋_GB2312" w:hAnsi="仿宋_GB2312" w:cs="仿宋_GB2312"/>
                <w:sz w:val="24"/>
              </w:rPr>
              <w:t>0分钟</w:t>
            </w:r>
          </w:p>
        </w:tc>
      </w:tr>
      <w:tr w:rsidR="009052B3" w:rsidTr="0066035E">
        <w:trPr>
          <w:trHeight w:val="1124"/>
        </w:trPr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月6日</w:t>
            </w:r>
          </w:p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（星期二）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</w:rPr>
              <w:t>-12:00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深圳“山海连城计划”城市设计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单</w:t>
            </w:r>
            <w:proofErr w:type="gramStart"/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樑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深圳市城市规划设计研究院股份有限公司副院长，教授级高级规划师。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午休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北京崇雍大街地区更新规划与实施示范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C453C8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proofErr w:type="gramStart"/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钱川</w:t>
            </w:r>
            <w:proofErr w:type="gramEnd"/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 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中国城市规划设计研究院</w:t>
            </w:r>
            <w:r w:rsidRPr="00FF2CC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名城所主任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规划师，</w:t>
            </w:r>
            <w:r w:rsidRPr="00C453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高级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城市</w:t>
            </w:r>
            <w:r w:rsidRPr="00C453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规划师。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30-15:40</w:t>
            </w:r>
          </w:p>
        </w:tc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休息1</w:t>
            </w:r>
            <w:r>
              <w:rPr>
                <w:rFonts w:ascii="仿宋_GB2312" w:eastAsia="仿宋_GB2312" w:hAnsi="仿宋_GB2312" w:cs="仿宋_GB2312"/>
                <w:sz w:val="24"/>
              </w:rPr>
              <w:t>0分钟</w:t>
            </w:r>
          </w:p>
        </w:tc>
      </w:tr>
      <w:tr w:rsidR="009052B3" w:rsidTr="0066035E">
        <w:trPr>
          <w:trHeight w:val="1152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40-17:10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北京市国土空间生态修复规划的探索与实践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赵丹 </w:t>
            </w:r>
            <w:r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北京市城市规划设计研究院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规划研究室主任工程师，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教授级高级工程师。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月7日</w:t>
            </w:r>
          </w:p>
          <w:p w:rsidR="009052B3" w:rsidRDefault="009052B3" w:rsidP="0066035E">
            <w:pPr>
              <w:snapToGrid w:val="0"/>
              <w:spacing w:line="264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（星期三）</w:t>
            </w:r>
          </w:p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09:</w:t>
            </w:r>
            <w:r>
              <w:rPr>
                <w:rFonts w:ascii="仿宋_GB2312" w:eastAsia="仿宋_GB2312" w:hAnsi="仿宋_GB2312" w:cs="仿宋_GB2312"/>
                <w:sz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-1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国家文化公园规划编制方法与实践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姚秀利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</w:t>
            </w:r>
            <w:r w:rsidRPr="00735E1C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江苏省规划设计集团苏州创新研究院院长，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教授级高级规划师。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0:30-10:40</w:t>
            </w:r>
          </w:p>
        </w:tc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休息1</w:t>
            </w:r>
            <w:r>
              <w:rPr>
                <w:rFonts w:ascii="仿宋_GB2312" w:eastAsia="仿宋_GB2312" w:hAnsi="仿宋_GB2312" w:cs="仿宋_GB2312"/>
                <w:sz w:val="24"/>
              </w:rPr>
              <w:t>0分钟</w:t>
            </w:r>
          </w:p>
        </w:tc>
      </w:tr>
      <w:tr w:rsidR="009052B3" w:rsidTr="0066035E">
        <w:trPr>
          <w:trHeight w:val="133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  <w:r>
              <w:rPr>
                <w:rFonts w:ascii="仿宋_GB2312" w:eastAsia="仿宋_GB2312" w:hAnsi="仿宋_GB2312" w:cs="仿宋_GB2312"/>
                <w:sz w:val="24"/>
              </w:rPr>
              <w:t>-12:10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2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“千年城脉·广府商街”——北京路步行街保护提升规划及详细设计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郑宇</w:t>
            </w:r>
            <w:r w:rsidRPr="00735E1C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 xml:space="preserve"> 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广州市城市规划设计有限公司总工程师</w:t>
            </w:r>
            <w:r w:rsidRPr="00735E1C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，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高级工程师。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</w:p>
        </w:tc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午休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14:0</w:t>
            </w:r>
            <w:r>
              <w:rPr>
                <w:rFonts w:ascii="仿宋_GB2312" w:eastAsia="仿宋_GB2312" w:hAnsi="仿宋_GB2312" w:cs="仿宋_GB2312"/>
                <w:sz w:val="24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-</w:t>
            </w: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北京市国土空间详细规划编管框架与技术标准  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735E1C" w:rsidRDefault="009052B3" w:rsidP="0066035E">
            <w:pPr>
              <w:snapToGrid w:val="0"/>
              <w:spacing w:line="264" w:lineRule="auto"/>
              <w:jc w:val="left"/>
              <w:rPr>
                <w:rFonts w:ascii="仿宋" w:eastAsia="仿宋" w:hAnsi="仿宋" w:cs="仿宋"/>
                <w:color w:val="000000" w:themeColor="text1"/>
                <w:sz w:val="32"/>
                <w:szCs w:val="32"/>
              </w:rPr>
            </w:pPr>
            <w:proofErr w:type="gramStart"/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徐碧颖</w:t>
            </w:r>
            <w:proofErr w:type="gramEnd"/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 xml:space="preserve"> 北京市城市规划设计研究院详细规划所副所长，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教授级高级</w:t>
            </w:r>
            <w:r w:rsidRPr="00735E1C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工程师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。</w:t>
            </w:r>
          </w:p>
        </w:tc>
      </w:tr>
      <w:tr w:rsidR="009052B3" w:rsidTr="0066035E">
        <w:trPr>
          <w:trHeight w:val="45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30-15:40</w:t>
            </w:r>
          </w:p>
        </w:tc>
        <w:tc>
          <w:tcPr>
            <w:tcW w:w="3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休息1</w:t>
            </w:r>
            <w:r>
              <w:rPr>
                <w:rFonts w:ascii="仿宋_GB2312" w:eastAsia="仿宋_GB2312" w:hAnsi="仿宋_GB2312" w:cs="仿宋_GB2312"/>
                <w:sz w:val="24"/>
              </w:rPr>
              <w:t>0分钟</w:t>
            </w:r>
          </w:p>
        </w:tc>
      </w:tr>
      <w:tr w:rsidR="009052B3" w:rsidTr="0066035E">
        <w:trPr>
          <w:trHeight w:val="1424"/>
        </w:trPr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widowControl/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Default="009052B3" w:rsidP="0066035E">
            <w:pPr>
              <w:snapToGrid w:val="0"/>
              <w:spacing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</w:t>
            </w:r>
            <w:r>
              <w:rPr>
                <w:rFonts w:ascii="仿宋_GB2312" w:eastAsia="仿宋_GB2312" w:hAnsi="仿宋_GB2312" w:cs="仿宋_GB2312"/>
                <w:sz w:val="24"/>
              </w:rPr>
              <w:t>40-17:10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3772C8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3772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巧施绣花功夫 激发场所活力——</w:t>
            </w:r>
            <w:proofErr w:type="gramStart"/>
            <w:r w:rsidRPr="003772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趣城社区</w:t>
            </w:r>
            <w:proofErr w:type="gramEnd"/>
            <w:r w:rsidRPr="003772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（蛇口）微更新设计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2B3" w:rsidRPr="003772C8" w:rsidRDefault="009052B3" w:rsidP="0066035E">
            <w:pPr>
              <w:snapToGrid w:val="0"/>
              <w:spacing w:line="264" w:lineRule="auto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3772C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邹兵 深圳市规划国土发展研究中心总规划师，教授级高级规划师，广东省工程勘察设计大师。</w:t>
            </w:r>
          </w:p>
        </w:tc>
      </w:tr>
    </w:tbl>
    <w:p w:rsidR="008F44AC" w:rsidRPr="009052B3" w:rsidRDefault="008F44AC" w:rsidP="008F44AC">
      <w:pPr>
        <w:tabs>
          <w:tab w:val="left" w:pos="6096"/>
        </w:tabs>
        <w:spacing w:line="600" w:lineRule="exact"/>
        <w:rPr>
          <w:rFonts w:ascii="微软雅黑" w:eastAsia="微软雅黑" w:hAnsi="微软雅黑" w:cs="仿宋"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i/>
          <w:sz w:val="32"/>
          <w:szCs w:val="32"/>
        </w:rPr>
      </w:pPr>
    </w:p>
    <w:p w:rsidR="008F44AC" w:rsidRDefault="008F44AC" w:rsidP="008F44AC">
      <w:pPr>
        <w:rPr>
          <w:rFonts w:ascii="黑体" w:eastAsia="黑体" w:hAnsi="黑体" w:cs="Times New Roman"/>
          <w:i/>
          <w:sz w:val="32"/>
          <w:szCs w:val="32"/>
        </w:rPr>
      </w:pPr>
    </w:p>
    <w:p w:rsidR="008F44AC" w:rsidRDefault="008F44AC" w:rsidP="008F44AC">
      <w:pPr>
        <w:tabs>
          <w:tab w:val="left" w:pos="6096"/>
        </w:tabs>
        <w:spacing w:line="600" w:lineRule="exact"/>
        <w:rPr>
          <w:rFonts w:ascii="微软雅黑" w:eastAsia="微软雅黑" w:hAnsi="微软雅黑" w:cs="仿宋"/>
          <w:sz w:val="32"/>
          <w:szCs w:val="32"/>
        </w:rPr>
      </w:pPr>
      <w:bookmarkStart w:id="1" w:name="_GoBack"/>
      <w:bookmarkEnd w:id="1"/>
      <w:r w:rsidRPr="001A7324">
        <w:rPr>
          <w:rFonts w:ascii="微软雅黑" w:eastAsia="微软雅黑" w:hAnsi="微软雅黑" w:cs="仿宋" w:hint="eastAsia"/>
          <w:sz w:val="32"/>
          <w:szCs w:val="32"/>
        </w:rPr>
        <w:lastRenderedPageBreak/>
        <w:t>附件</w:t>
      </w:r>
      <w:r>
        <w:rPr>
          <w:rFonts w:ascii="微软雅黑" w:eastAsia="微软雅黑" w:hAnsi="微软雅黑" w:cs="仿宋"/>
          <w:sz w:val="32"/>
          <w:szCs w:val="32"/>
        </w:rPr>
        <w:t>3</w:t>
      </w:r>
      <w:r w:rsidRPr="001A7324">
        <w:rPr>
          <w:rFonts w:ascii="微软雅黑" w:eastAsia="微软雅黑" w:hAnsi="微软雅黑" w:cs="仿宋" w:hint="eastAsia"/>
          <w:sz w:val="32"/>
          <w:szCs w:val="32"/>
        </w:rPr>
        <w:t>：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           </w:t>
      </w:r>
      <w:r>
        <w:rPr>
          <w:rFonts w:ascii="微软雅黑" w:eastAsia="微软雅黑" w:hAnsi="微软雅黑" w:cs="仿宋" w:hint="eastAsia"/>
          <w:sz w:val="32"/>
          <w:szCs w:val="32"/>
        </w:rPr>
        <w:t>交通指南</w:t>
      </w:r>
    </w:p>
    <w:p w:rsidR="008F44AC" w:rsidRDefault="008F44AC" w:rsidP="008F44AC">
      <w:pPr>
        <w:rPr>
          <w:rFonts w:ascii="黑体" w:eastAsia="黑体" w:hAnsi="黑体" w:cs="Times New Roman"/>
          <w:i/>
          <w:sz w:val="32"/>
          <w:szCs w:val="32"/>
        </w:rPr>
      </w:pPr>
      <w:r w:rsidRPr="002C24A7">
        <w:rPr>
          <w:rFonts w:ascii="黑体" w:eastAsia="黑体" w:hAnsi="黑体" w:cs="Times New Roman"/>
          <w:i/>
          <w:noProof/>
          <w:sz w:val="32"/>
          <w:szCs w:val="32"/>
        </w:rPr>
        <w:drawing>
          <wp:inline distT="0" distB="0" distL="0" distR="0" wp14:anchorId="640CBE30" wp14:editId="57E92BCD">
            <wp:extent cx="5615940" cy="6889843"/>
            <wp:effectExtent l="0" t="0" r="3810" b="6350"/>
            <wp:docPr id="2" name="图片 2" descr="C:\Users\GHXH\AppData\Local\Temp\WeChat Files\95d3224d4bec4dd0947d86ad8bcbc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XH\AppData\Local\Temp\WeChat Files\95d3224d4bec4dd0947d86ad8bcbc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688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9E" w:rsidRDefault="0009579E"/>
    <w:sectPr w:rsidR="0009579E"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579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70" w:rsidRDefault="00BB4470" w:rsidP="008F44AC">
      <w:r>
        <w:separator/>
      </w:r>
    </w:p>
  </w:endnote>
  <w:endnote w:type="continuationSeparator" w:id="0">
    <w:p w:rsidR="00BB4470" w:rsidRDefault="00BB4470" w:rsidP="008F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70" w:rsidRDefault="00BB4470" w:rsidP="008F44AC">
      <w:r>
        <w:separator/>
      </w:r>
    </w:p>
  </w:footnote>
  <w:footnote w:type="continuationSeparator" w:id="0">
    <w:p w:rsidR="00BB4470" w:rsidRDefault="00BB4470" w:rsidP="008F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017D7"/>
    <w:multiLevelType w:val="singleLevel"/>
    <w:tmpl w:val="816017D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4FF"/>
    <w:rsid w:val="0009579E"/>
    <w:rsid w:val="004131EB"/>
    <w:rsid w:val="008F44AC"/>
    <w:rsid w:val="009052B3"/>
    <w:rsid w:val="00BB4470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A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4AC"/>
    <w:rPr>
      <w:sz w:val="18"/>
      <w:szCs w:val="18"/>
    </w:rPr>
  </w:style>
  <w:style w:type="paragraph" w:customStyle="1" w:styleId="12">
    <w:name w:val="样式12"/>
    <w:basedOn w:val="a"/>
    <w:link w:val="12Char"/>
    <w:qFormat/>
    <w:rsid w:val="008F44AC"/>
    <w:pPr>
      <w:ind w:firstLineChars="372" w:firstLine="1232"/>
    </w:pPr>
    <w:rPr>
      <w:rFonts w:ascii="仿宋" w:eastAsia="仿宋" w:hAnsi="仿宋" w:cs="仿宋"/>
      <w:sz w:val="32"/>
      <w:szCs w:val="32"/>
    </w:rPr>
  </w:style>
  <w:style w:type="character" w:customStyle="1" w:styleId="12Char">
    <w:name w:val="样式12 Char"/>
    <w:basedOn w:val="a0"/>
    <w:link w:val="12"/>
    <w:qFormat/>
    <w:rsid w:val="008F44AC"/>
    <w:rPr>
      <w:rFonts w:ascii="仿宋" w:eastAsia="仿宋" w:hAnsi="仿宋" w:cs="仿宋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8F44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4AC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4A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4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4AC"/>
    <w:rPr>
      <w:sz w:val="18"/>
      <w:szCs w:val="18"/>
    </w:rPr>
  </w:style>
  <w:style w:type="paragraph" w:customStyle="1" w:styleId="12">
    <w:name w:val="样式12"/>
    <w:basedOn w:val="a"/>
    <w:link w:val="12Char"/>
    <w:qFormat/>
    <w:rsid w:val="008F44AC"/>
    <w:pPr>
      <w:ind w:firstLineChars="372" w:firstLine="1232"/>
    </w:pPr>
    <w:rPr>
      <w:rFonts w:ascii="仿宋" w:eastAsia="仿宋" w:hAnsi="仿宋" w:cs="仿宋"/>
      <w:sz w:val="32"/>
      <w:szCs w:val="32"/>
    </w:rPr>
  </w:style>
  <w:style w:type="character" w:customStyle="1" w:styleId="12Char">
    <w:name w:val="样式12 Char"/>
    <w:basedOn w:val="a0"/>
    <w:link w:val="12"/>
    <w:qFormat/>
    <w:rsid w:val="008F44AC"/>
    <w:rPr>
      <w:rFonts w:ascii="仿宋" w:eastAsia="仿宋" w:hAnsi="仿宋" w:cs="仿宋"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8F44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44A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1430</Characters>
  <Application>Microsoft Office Word</Application>
  <DocSecurity>0</DocSecurity>
  <Lines>11</Lines>
  <Paragraphs>3</Paragraphs>
  <ScaleCrop>false</ScaleCrop>
  <Company>Organization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2023-05-10T04:16:00Z</dcterms:created>
  <dcterms:modified xsi:type="dcterms:W3CDTF">2023-05-19T07:45:00Z</dcterms:modified>
</cp:coreProperties>
</file>